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B5523B"/>
          <w:sz w:val="15"/>
        </w:rPr>
        <w:t>TEXTO DE ESPECIFICAÇÃO · ARCHISKIN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Texto de especificação · i-Mesh · tetos e divisórias interiores</w:t>
      </w:r>
    </w:p>
    <w:p>
      <w:pPr>
        <w:spacing w:before="0" w:after="200" w:line="264" w:lineRule="auto"/>
        <w:pBdr>
          <w:bottom w:val="single" w:sz="8" w:space="4" w:color="B5523B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FAF3F1"/>
            <w:tcBorders>
              <w:left w:val="single" w:sz="18" w:color="B5523B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archiskin e coincidem com os das fichas técnicas e das páginas dos padrões.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F2E0DC"/>
        </w:pBdr>
      </w:pPr>
      <w:r>
        <w:rPr>
          <w:b/>
          <w:color w:val="B5523B"/>
          <w:sz w:val="27"/>
        </w:rPr>
        <w:t>1. Memória descritiva</w:t>
      </w:r>
    </w:p>
    <w:p>
      <w:pPr>
        <w:spacing w:before="0" w:after="100" w:line="288" w:lineRule="auto"/>
      </w:pPr>
      <w:r>
        <w:rPr>
          <w:sz w:val="20"/>
        </w:rPr>
        <w:t>Texto justificativo para integrar na memória descritiva do projeto de arquitetura ou de arquitetura de interiores.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Tetos e divisórias em malha técnica</w:t>
      </w:r>
    </w:p>
    <w:p>
      <w:pPr>
        <w:spacing w:before="0" w:after="100" w:line="288" w:lineRule="auto"/>
      </w:pPr>
      <w:r>
        <w:rPr>
          <w:sz w:val="20"/>
        </w:rPr>
        <w:t>Em [espaços], prevê-se a aplicação de malha técnica multiaxial, constituída por fibras minerais ou técnicas colocadas por robô numa grelha multiaxial, sem tecelagem, e impregnadas com acabamento de fachada, com 2,5 mm de espessura, do tipo i-Mesh, em [tetos | divisórias | tetos e divisórias], numa área total de [ ] m², conforme as peças desenhadas. A malha separa sem fechar: deixa passar o ar, a luz e parte da vista, difunde a iluminação colocada acima e esconde as instalações sem impedir o acesso.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Padrão, fibra e escala</w:t>
      </w:r>
    </w:p>
    <w:p>
      <w:pPr>
        <w:spacing w:before="0" w:after="100" w:line="288" w:lineRule="auto"/>
      </w:pPr>
      <w:r>
        <w:rPr>
          <w:sz w:val="20"/>
        </w:rPr>
        <w:t>O padrão adotado é [padrão], em [fibra ou mescla], à escala de [ ] % (gama de 70 % a 200 %). A privacidade escolhe-se pelo padrão e pela escala: com a escala reduzida a malha fica mais densa. Os padrões de catálogo indicados para interiores são os do quadro seguinte. As fibras têm cores naturais diferentes e a luz rasante ou de fundo altera muito o aspeto, pelo que a escolha se valida com amostras e com a iluminação prevista.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F2E0DC"/>
          <w:left w:val="nil"/>
          <w:bottom w:val="single" w:sz="4" w:color="F2E0DC"/>
          <w:right w:val="nil"/>
          <w:insideH w:val="single" w:sz="4" w:color="F2E0DC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1060"/>
        <w:gridCol w:w="1446"/>
        <w:gridCol w:w="1349"/>
        <w:gridCol w:w="1060"/>
        <w:gridCol w:w="1157"/>
        <w:gridCol w:w="1253"/>
        <w:gridCol w:w="2313"/>
      </w:tblGrid>
      <w:tr>
        <w:trPr>
          <w:tblHeader w:val="true"/>
          <w:cantSplit/>
        </w:trPr>
        <w:tc>
          <w:tcPr>
            <w:tcW w:type="dxa" w:w="1060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Padrão</w:t>
            </w:r>
          </w:p>
        </w:tc>
        <w:tc>
          <w:tcPr>
            <w:tcW w:type="dxa" w:w="1446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Código</w:t>
            </w:r>
          </w:p>
        </w:tc>
        <w:tc>
          <w:tcPr>
            <w:tcW w:type="dxa" w:w="1349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Fibras</w:t>
            </w:r>
          </w:p>
        </w:tc>
        <w:tc>
          <w:tcPr>
            <w:tcW w:type="dxa" w:w="1060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Área aberta (escala 100 %)</w:t>
            </w:r>
          </w:p>
        </w:tc>
        <w:tc>
          <w:tcPr>
            <w:tcW w:type="dxa" w:w="1157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Peso</w:t>
            </w:r>
          </w:p>
        </w:tc>
        <w:tc>
          <w:tcPr>
            <w:tcW w:type="dxa" w:w="1253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Reação ao fogo (EN 13501-1)</w:t>
            </w:r>
          </w:p>
        </w:tc>
        <w:tc>
          <w:tcPr>
            <w:tcW w:type="dxa" w:w="2313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Notas</w:t>
            </w:r>
          </w:p>
        </w:tc>
      </w:tr>
      <w:tr>
        <w:trPr>
          <w:cantSplit/>
        </w:trPr>
        <w:tc>
          <w:tcPr>
            <w:tcW w:type="dxa" w:w="106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Morellet</w:t>
            </w:r>
          </w:p>
        </w:tc>
        <w:tc>
          <w:tcPr>
            <w:tcW w:type="dxa" w:w="14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MORELLET F 100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Vidro</w:t>
            </w:r>
          </w:p>
        </w:tc>
        <w:tc>
          <w:tcPr>
            <w:tcW w:type="dxa" w:w="106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46,5 %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1133 g/m² (± 5 %)</w:t>
            </w:r>
          </w:p>
        </w:tc>
        <w:tc>
          <w:tcPr>
            <w:tcW w:type="dxa" w:w="1253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B-s1,d0</w:t>
            </w:r>
          </w:p>
        </w:tc>
        <w:tc>
          <w:tcPr>
            <w:tcW w:type="dxa" w:w="2313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Tensão ortogonal; também cortina plana.</w:t>
            </w:r>
          </w:p>
        </w:tc>
      </w:tr>
      <w:tr>
        <w:trPr>
          <w:cantSplit/>
        </w:trPr>
        <w:tc>
          <w:tcPr>
            <w:tcW w:type="dxa" w:w="106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Random</w:t>
            </w:r>
          </w:p>
        </w:tc>
        <w:tc>
          <w:tcPr>
            <w:tcW w:type="dxa" w:w="1446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RANDOM B 100</w:t>
            </w:r>
          </w:p>
        </w:tc>
        <w:tc>
          <w:tcPr>
            <w:tcW w:type="dxa" w:w="1349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Basalto</w:t>
            </w:r>
          </w:p>
        </w:tc>
        <w:tc>
          <w:tcPr>
            <w:tcW w:type="dxa" w:w="106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40 %</w:t>
            </w:r>
          </w:p>
        </w:tc>
        <w:tc>
          <w:tcPr>
            <w:tcW w:type="dxa" w:w="1157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884 g/m² (± 5 %)</w:t>
            </w:r>
          </w:p>
        </w:tc>
        <w:tc>
          <w:tcPr>
            <w:tcW w:type="dxa" w:w="1253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B-s1,d0</w:t>
            </w:r>
          </w:p>
        </w:tc>
        <w:tc>
          <w:tcPr>
            <w:tcW w:type="dxa" w:w="2313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Quadrícula escondida: tensiona-se nas duas direções.</w:t>
            </w:r>
          </w:p>
        </w:tc>
      </w:tr>
      <w:tr>
        <w:trPr>
          <w:cantSplit/>
        </w:trPr>
        <w:tc>
          <w:tcPr>
            <w:tcW w:type="dxa" w:w="106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WK</w:t>
            </w:r>
          </w:p>
        </w:tc>
        <w:tc>
          <w:tcPr>
            <w:tcW w:type="dxa" w:w="14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WK F 100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Vidro</w:t>
            </w:r>
          </w:p>
        </w:tc>
        <w:tc>
          <w:tcPr>
            <w:tcW w:type="dxa" w:w="106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72 %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498 g/m² (± 5 %)</w:t>
            </w:r>
          </w:p>
        </w:tc>
        <w:tc>
          <w:tcPr>
            <w:tcW w:type="dxa" w:w="1253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B-s1,d0</w:t>
            </w:r>
          </w:p>
        </w:tc>
        <w:tc>
          <w:tcPr>
            <w:tcW w:type="dxa" w:w="2313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Primeiro padrão pensado para cortinas onduladas.</w:t>
            </w:r>
          </w:p>
        </w:tc>
      </w:tr>
      <w:tr>
        <w:trPr>
          <w:cantSplit/>
        </w:trPr>
        <w:tc>
          <w:tcPr>
            <w:tcW w:type="dxa" w:w="106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Leaf</w:t>
            </w:r>
          </w:p>
        </w:tc>
        <w:tc>
          <w:tcPr>
            <w:tcW w:type="dxa" w:w="1446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LEAF T 100</w:t>
            </w:r>
          </w:p>
        </w:tc>
        <w:tc>
          <w:tcPr>
            <w:tcW w:type="dxa" w:w="1349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Technora</w:t>
            </w:r>
          </w:p>
        </w:tc>
        <w:tc>
          <w:tcPr>
            <w:tcW w:type="dxa" w:w="106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64 %</w:t>
            </w:r>
          </w:p>
        </w:tc>
        <w:tc>
          <w:tcPr>
            <w:tcW w:type="dxa" w:w="1157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 g/m²</w:t>
            </w:r>
          </w:p>
        </w:tc>
        <w:tc>
          <w:tcPr>
            <w:tcW w:type="dxa" w:w="1253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[sem classe declarada]</w:t>
            </w:r>
          </w:p>
        </w:tc>
        <w:tc>
          <w:tcPr>
            <w:tcW w:type="dxa" w:w="2313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Toque macio, para interiores e cortinas.</w:t>
            </w:r>
          </w:p>
        </w:tc>
      </w:tr>
      <w:tr>
        <w:trPr>
          <w:cantSplit/>
        </w:trPr>
        <w:tc>
          <w:tcPr>
            <w:tcW w:type="dxa" w:w="106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Ninnaji</w:t>
            </w:r>
          </w:p>
        </w:tc>
        <w:tc>
          <w:tcPr>
            <w:tcW w:type="dxa" w:w="14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NINNAJI C 100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Carbono</w:t>
            </w:r>
          </w:p>
        </w:tc>
        <w:tc>
          <w:tcPr>
            <w:tcW w:type="dxa" w:w="106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49 %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820 g/m² (± 5 %)</w:t>
            </w:r>
          </w:p>
        </w:tc>
        <w:tc>
          <w:tcPr>
            <w:tcW w:type="dxa" w:w="1253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B-s1,d0</w:t>
            </w:r>
          </w:p>
        </w:tc>
        <w:tc>
          <w:tcPr>
            <w:tcW w:type="dxa" w:w="2313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Tensiona-se segundo as diagonais.</w:t>
            </w:r>
          </w:p>
        </w:tc>
      </w:tr>
      <w:tr>
        <w:trPr>
          <w:cantSplit/>
        </w:trPr>
        <w:tc>
          <w:tcPr>
            <w:tcW w:type="dxa" w:w="106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Tartan</w:t>
            </w:r>
          </w:p>
        </w:tc>
        <w:tc>
          <w:tcPr>
            <w:tcW w:type="dxa" w:w="1446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TARTAN FVC 100</w:t>
            </w:r>
          </w:p>
        </w:tc>
        <w:tc>
          <w:tcPr>
            <w:tcW w:type="dxa" w:w="1349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Vidro, Volcano e carbono</w:t>
            </w:r>
          </w:p>
        </w:tc>
        <w:tc>
          <w:tcPr>
            <w:tcW w:type="dxa" w:w="106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21 %</w:t>
            </w:r>
          </w:p>
        </w:tc>
        <w:tc>
          <w:tcPr>
            <w:tcW w:type="dxa" w:w="1157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1412 g/m² (± 5 %)</w:t>
            </w:r>
          </w:p>
        </w:tc>
        <w:tc>
          <w:tcPr>
            <w:tcW w:type="dxa" w:w="1253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B-s1,d0</w:t>
            </w:r>
          </w:p>
        </w:tc>
        <w:tc>
          <w:tcPr>
            <w:tcW w:type="dxa" w:w="2313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Faixas densas: mais privacidade.</w:t>
            </w:r>
          </w:p>
        </w:tc>
      </w:tr>
      <w:tr>
        <w:trPr>
          <w:cantSplit/>
        </w:trPr>
        <w:tc>
          <w:tcPr>
            <w:tcW w:type="dxa" w:w="106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Wien Straw</w:t>
            </w:r>
          </w:p>
        </w:tc>
        <w:tc>
          <w:tcPr>
            <w:tcW w:type="dxa" w:w="14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WIEN STRAW V 100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Volcano</w:t>
            </w:r>
          </w:p>
        </w:tc>
        <w:tc>
          <w:tcPr>
            <w:tcW w:type="dxa" w:w="106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48 %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1142 g/m² (± 5 %)</w:t>
            </w:r>
          </w:p>
        </w:tc>
        <w:tc>
          <w:tcPr>
            <w:tcW w:type="dxa" w:w="1253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B-s1,d0</w:t>
            </w:r>
          </w:p>
        </w:tc>
        <w:tc>
          <w:tcPr>
            <w:tcW w:type="dxa" w:w="2313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Fachada do Pavilhão da Indonésia, Expo 2025.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FAF3F1"/>
            <w:tcBorders>
              <w:left w:val="single" w:sz="18" w:color="B5523B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Valores das fichas técnicas i-Mesh. A área aberta («permeabilidade») é a indicada pelo fabricante para a escala de 100 %.</w:t>
            </w:r>
          </w:p>
        </w:tc>
      </w:tr>
    </w:tbl>
    <w:p>
      <w:pPr>
        <w:spacing w:after="0"/>
      </w:pP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Montagem</w:t>
      </w:r>
    </w:p>
    <w:p>
      <w:pPr>
        <w:keepNext/>
        <w:spacing w:before="80" w:after="40" w:line="264" w:lineRule="auto"/>
      </w:pPr>
      <w:r>
        <w:rPr>
          <w:b/>
          <w:i w:val="0"/>
          <w:color w:val="B5523B"/>
          <w:sz w:val="18"/>
        </w:rPr>
        <w:t>[Opção A · divisória em caixilho]</w:t>
      </w:r>
    </w:p>
    <w:p>
      <w:pPr>
        <w:spacing w:before="0" w:after="100" w:line="288" w:lineRule="auto"/>
      </w:pPr>
      <w:r>
        <w:rPr>
          <w:sz w:val="20"/>
        </w:rPr>
        <w:t>Malha tensionada dentro de um aro de [madeira | metal], em painéis [fixos | de correr | articulados], sem fixações à vista.</w:t>
      </w:r>
    </w:p>
    <w:p>
      <w:pPr>
        <w:keepNext/>
        <w:spacing w:before="80" w:after="40" w:line="264" w:lineRule="auto"/>
      </w:pPr>
      <w:r>
        <w:rPr>
          <w:b/>
          <w:i w:val="0"/>
          <w:color w:val="B5523B"/>
          <w:sz w:val="18"/>
        </w:rPr>
        <w:t>[Opção B · divisória suspensa]</w:t>
      </w:r>
    </w:p>
    <w:p>
      <w:pPr>
        <w:spacing w:before="0" w:after="100" w:line="288" w:lineRule="auto"/>
      </w:pPr>
      <w:r>
        <w:rPr>
          <w:sz w:val="20"/>
        </w:rPr>
        <w:t>Painéis tensionados entre o teto e o pavimento, ou suspensos da laje com perfil inferior. A fixação faz-se à laje ou à estrutura.</w:t>
      </w:r>
    </w:p>
    <w:p>
      <w:pPr>
        <w:keepNext/>
        <w:spacing w:before="80" w:after="40" w:line="264" w:lineRule="auto"/>
      </w:pPr>
      <w:r>
        <w:rPr>
          <w:b/>
          <w:i w:val="0"/>
          <w:color w:val="B5523B"/>
          <w:sz w:val="18"/>
        </w:rPr>
        <w:t>[Opção C · divisória autoportante]</w:t>
      </w:r>
    </w:p>
    <w:p>
      <w:pPr>
        <w:spacing w:before="0" w:after="100" w:line="288" w:lineRule="auto"/>
      </w:pPr>
      <w:r>
        <w:rPr>
          <w:sz w:val="20"/>
        </w:rPr>
        <w:t>Biombos ou painéis com estrutura própria, deslocáveis.</w:t>
      </w:r>
    </w:p>
    <w:p>
      <w:pPr>
        <w:keepNext/>
        <w:spacing w:before="80" w:after="40" w:line="264" w:lineRule="auto"/>
      </w:pPr>
      <w:r>
        <w:rPr>
          <w:b/>
          <w:i w:val="0"/>
          <w:color w:val="B5523B"/>
          <w:sz w:val="18"/>
        </w:rPr>
        <w:t>[Opção D · teto tensionado]</w:t>
      </w:r>
    </w:p>
    <w:p>
      <w:pPr>
        <w:spacing w:before="0" w:after="100" w:line="288" w:lineRule="auto"/>
      </w:pPr>
      <w:r>
        <w:rPr>
          <w:sz w:val="20"/>
        </w:rPr>
        <w:t>Planos de malha tensionados em perímetro ou fixados com anéis metálicos, suspensos da laje, em módulos desmontáveis que dão acesso às instalações.</w:t>
      </w:r>
    </w:p>
    <w:p>
      <w:pPr>
        <w:keepNext/>
        <w:spacing w:before="80" w:after="40" w:line="264" w:lineRule="auto"/>
      </w:pPr>
      <w:r>
        <w:rPr>
          <w:b/>
          <w:i w:val="0"/>
          <w:color w:val="B5523B"/>
          <w:sz w:val="18"/>
        </w:rPr>
        <w:t>[Opção E · caixotões retroiluminados ou volumes suspensos]</w:t>
      </w:r>
    </w:p>
    <w:p>
      <w:pPr>
        <w:spacing w:before="0" w:after="100" w:line="288" w:lineRule="auto"/>
      </w:pPr>
      <w:r>
        <w:rPr>
          <w:sz w:val="20"/>
        </w:rPr>
        <w:t>Malha em caixilhos ou volumes suspensos da laje, com a iluminação acima ou no interior do volume.</w:t>
      </w:r>
    </w:p>
    <w:p>
      <w:pPr>
        <w:spacing w:before="0" w:after="100" w:line="288" w:lineRule="auto"/>
      </w:pPr>
      <w:r>
        <w:rPr>
          <w:sz w:val="20"/>
        </w:rPr>
        <w:t>A suspensão e as fixações são dimensionadas para o peso da malha do padrão adotado e dos caixilhos. A modulação dos tetos coordena-se com os acessos a equipamentos, a deteção de incêndio e, quando existam, os sprinklers; a compatibilidade com estes sistemas confirma-se no projeto de segurança contra incêndio.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Acústica</w:t>
      </w:r>
    </w:p>
    <w:p>
      <w:pPr>
        <w:spacing w:before="0" w:after="100" w:line="288" w:lineRule="auto"/>
      </w:pPr>
      <w:r>
        <w:rPr>
          <w:sz w:val="20"/>
        </w:rPr>
        <w:t>A malha é aberta e leve e não é considerada um absorvente acústico no cálculo do tempo de reverberação. Quando o espaço precisa de absorção, a solução acústica projeta-se à parte: [material absorvente acima do teto de malha | painéis absorventes noutras superfícies].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Reação ao fogo e qualidade do ar interior</w:t>
      </w:r>
    </w:p>
    <w:p>
      <w:pPr>
        <w:spacing w:before="0" w:after="100" w:line="288" w:lineRule="auto"/>
      </w:pPr>
      <w:r>
        <w:rPr>
          <w:sz w:val="20"/>
        </w:rPr>
        <w:t>A classe de reação ao fogo exigida aos revestimentos de paredes e tetos depende do local e da utilização-tipo e é definida no projeto de segurança contra incêndio: classe mínima [ ]. Os padrões do quadro com classe indicada têm classe B-s1,d0 (EN 13501-1) declarada na ficha técnica. A classe declarada nas fichas técnicas é confirmada pelo relatório de classificação EN 13501-1, que identifica o produto (código, fibra, massa e acabamento), a montagem ensaiada e o campo de aplicação; a classe vale para a montagem ensaiada e para esse campo de aplicação. O padrão Leaf não tem classe declarada e só se aplica em local sem exigência de reação ao fogo para o revestimento, ou depois de demonstrada a classe exigida por relatório de classificação. Na Madeira e nos Açores, o enquadramento confirma-se com o serviço regional de proteção civil.</w:t>
      </w:r>
    </w:p>
    <w:p>
      <w:pPr>
        <w:spacing w:before="0" w:after="100" w:line="288" w:lineRule="auto"/>
      </w:pPr>
      <w:r>
        <w:rPr>
          <w:sz w:val="20"/>
        </w:rPr>
        <w:t>Emissões de compostos orgânicos voláteis: classe A+ (EN ISO 16000-9) e segundo o método CDPH 01350, do California Department of Public Health (CDPH), conforme o fabricante.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Tetos e divisórias em malha técnica i-Mesh, padrão [ ], em [fibra], escala [ ] %, 2,5 mm, área aberta de 21 % a 72 % conforme o padrão, reação ao fogo B-s1,d0 nos padrões com classe declarada, no campo de aplicação do relatório, em [ ] m² de [teto | divisória].</w:t>
      </w:r>
    </w:p>
    <w:p>
      <w:pPr>
        <w:keepNext/>
        <w:spacing w:before="280" w:after="100" w:line="252" w:lineRule="auto"/>
        <w:pBdr>
          <w:bottom w:val="single" w:sz="6" w:space="4" w:color="F2E0DC"/>
        </w:pBdr>
      </w:pPr>
      <w:r>
        <w:rPr>
          <w:b/>
          <w:color w:val="B5523B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Teto ou divisória em malha técnica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montagem de [teto | divisória] em malha técnica multiaxial, constituída por fibras minerais ou técnicas colocadas por robô numa grelha multiaxial, sem tecelagem, e impregnadas com acabamento de fachada, com 2,5 mm de espessura, do tipo </w:t>
      </w:r>
      <w:r>
        <w:rPr>
          <w:b/>
          <w:sz w:val="20"/>
        </w:rPr>
        <w:t>i-Mesh</w:t>
      </w:r>
      <w:r>
        <w:rPr>
          <w:sz w:val="20"/>
        </w:rPr>
        <w:t>, ou equivalente previamente aprovado pela fiscalização, produzida por medida, em painéis com a forma final, com montagem [em caixilho | suspensa | autoportante | tensionada em teto | em caixotões ou volumes suspensos], incluindo caixilhos, suspensões, acessórios de fixação e tensionamento, trabalhos de preparação e limpeza final.</w:t>
      </w:r>
    </w:p>
    <w:p>
      <w:pPr>
        <w:keepNext/>
        <w:spacing w:before="80" w:after="40" w:line="264" w:lineRule="auto"/>
      </w:pPr>
      <w:r>
        <w:rPr>
          <w:b/>
          <w:i w:val="0"/>
          <w:color w:val="B5523B"/>
          <w:sz w:val="18"/>
        </w:rPr>
        <w:t>[Opção A · Morellet]</w:t>
      </w:r>
    </w:p>
    <w:p>
      <w:pPr>
        <w:spacing w:before="0" w:after="100" w:line="288" w:lineRule="auto"/>
      </w:pPr>
      <w:r>
        <w:rPr>
          <w:sz w:val="20"/>
        </w:rPr>
        <w:t xml:space="preserve">Padrão </w:t>
      </w:r>
      <w:r>
        <w:rPr>
          <w:b/>
          <w:sz w:val="20"/>
        </w:rPr>
        <w:t>Morellet</w:t>
      </w:r>
      <w:r>
        <w:rPr>
          <w:sz w:val="20"/>
        </w:rPr>
        <w:t xml:space="preserve"> (código MORELLET F 100), em vidro, com área aberta de 46,5 % à escala de 100 % e peso de 1133 g/m² (± 5 %), reação ao fogo B-s1,d0.</w:t>
      </w:r>
    </w:p>
    <w:p>
      <w:pPr>
        <w:keepNext/>
        <w:spacing w:before="80" w:after="40" w:line="264" w:lineRule="auto"/>
      </w:pPr>
      <w:r>
        <w:rPr>
          <w:b/>
          <w:i w:val="0"/>
          <w:color w:val="B5523B"/>
          <w:sz w:val="18"/>
        </w:rPr>
        <w:t>[Opção B · Random]</w:t>
      </w:r>
    </w:p>
    <w:p>
      <w:pPr>
        <w:spacing w:before="0" w:after="100" w:line="288" w:lineRule="auto"/>
      </w:pPr>
      <w:r>
        <w:rPr>
          <w:sz w:val="20"/>
        </w:rPr>
        <w:t xml:space="preserve">Padrão </w:t>
      </w:r>
      <w:r>
        <w:rPr>
          <w:b/>
          <w:sz w:val="20"/>
        </w:rPr>
        <w:t>Random</w:t>
      </w:r>
      <w:r>
        <w:rPr>
          <w:sz w:val="20"/>
        </w:rPr>
        <w:t xml:space="preserve"> (código RANDOM B 100), em basalto, com área aberta de 40 % à escala de 100 % e peso de 884 g/m² (± 5 %), reação ao fogo B-s1,d0.</w:t>
      </w:r>
    </w:p>
    <w:p>
      <w:pPr>
        <w:keepNext/>
        <w:spacing w:before="80" w:after="40" w:line="264" w:lineRule="auto"/>
      </w:pPr>
      <w:r>
        <w:rPr>
          <w:b/>
          <w:i w:val="0"/>
          <w:color w:val="B5523B"/>
          <w:sz w:val="18"/>
        </w:rPr>
        <w:t>[Opção C · WK]</w:t>
      </w:r>
    </w:p>
    <w:p>
      <w:pPr>
        <w:spacing w:before="0" w:after="100" w:line="288" w:lineRule="auto"/>
      </w:pPr>
      <w:r>
        <w:rPr>
          <w:sz w:val="20"/>
        </w:rPr>
        <w:t xml:space="preserve">Padrão </w:t>
      </w:r>
      <w:r>
        <w:rPr>
          <w:b/>
          <w:sz w:val="20"/>
        </w:rPr>
        <w:t>WK</w:t>
      </w:r>
      <w:r>
        <w:rPr>
          <w:sz w:val="20"/>
        </w:rPr>
        <w:t xml:space="preserve"> (código WK F 100), em vidro, com área aberta de 72 % à escala de 100 % e peso de 498 g/m² (± 5 %), reação ao fogo B-s1,d0.</w:t>
      </w:r>
    </w:p>
    <w:p>
      <w:pPr>
        <w:keepNext/>
        <w:spacing w:before="80" w:after="40" w:line="264" w:lineRule="auto"/>
      </w:pPr>
      <w:r>
        <w:rPr>
          <w:b/>
          <w:i w:val="0"/>
          <w:color w:val="B5523B"/>
          <w:sz w:val="18"/>
        </w:rPr>
        <w:t>[Opção D · Leaf]</w:t>
      </w:r>
    </w:p>
    <w:p>
      <w:pPr>
        <w:spacing w:before="0" w:after="100" w:line="288" w:lineRule="auto"/>
      </w:pPr>
      <w:r>
        <w:rPr>
          <w:sz w:val="20"/>
        </w:rPr>
        <w:t xml:space="preserve">Padrão </w:t>
      </w:r>
      <w:r>
        <w:rPr>
          <w:b/>
          <w:sz w:val="20"/>
        </w:rPr>
        <w:t>Leaf</w:t>
      </w:r>
      <w:r>
        <w:rPr>
          <w:sz w:val="20"/>
        </w:rPr>
        <w:t xml:space="preserve"> (código LEAF T 100), em technora, com área aberta de 64 % à escala de 100 % e peso de [ ] g/m².</w:t>
      </w:r>
    </w:p>
    <w:p>
      <w:pPr>
        <w:keepNext/>
        <w:spacing w:before="80" w:after="40" w:line="264" w:lineRule="auto"/>
      </w:pPr>
      <w:r>
        <w:rPr>
          <w:b/>
          <w:i w:val="0"/>
          <w:color w:val="B5523B"/>
          <w:sz w:val="18"/>
        </w:rPr>
        <w:t>[Opção E · Ninnaji]</w:t>
      </w:r>
    </w:p>
    <w:p>
      <w:pPr>
        <w:spacing w:before="0" w:after="100" w:line="288" w:lineRule="auto"/>
      </w:pPr>
      <w:r>
        <w:rPr>
          <w:sz w:val="20"/>
        </w:rPr>
        <w:t xml:space="preserve">Padrão </w:t>
      </w:r>
      <w:r>
        <w:rPr>
          <w:b/>
          <w:sz w:val="20"/>
        </w:rPr>
        <w:t>Ninnaji</w:t>
      </w:r>
      <w:r>
        <w:rPr>
          <w:sz w:val="20"/>
        </w:rPr>
        <w:t xml:space="preserve"> (código NINNAJI C 100), em carbono, com área aberta de 49 % à escala de 100 % e peso de 820 g/m² (± 5 %), reação ao fogo B-s1,d0.</w:t>
      </w:r>
    </w:p>
    <w:p>
      <w:pPr>
        <w:keepNext/>
        <w:spacing w:before="80" w:after="40" w:line="264" w:lineRule="auto"/>
      </w:pPr>
      <w:r>
        <w:rPr>
          <w:b/>
          <w:i w:val="0"/>
          <w:color w:val="B5523B"/>
          <w:sz w:val="18"/>
        </w:rPr>
        <w:t>[Opção F · Tartan]</w:t>
      </w:r>
    </w:p>
    <w:p>
      <w:pPr>
        <w:spacing w:before="0" w:after="100" w:line="288" w:lineRule="auto"/>
      </w:pPr>
      <w:r>
        <w:rPr>
          <w:sz w:val="20"/>
        </w:rPr>
        <w:t xml:space="preserve">Padrão </w:t>
      </w:r>
      <w:r>
        <w:rPr>
          <w:b/>
          <w:sz w:val="20"/>
        </w:rPr>
        <w:t>Tartan</w:t>
      </w:r>
      <w:r>
        <w:rPr>
          <w:sz w:val="20"/>
        </w:rPr>
        <w:t xml:space="preserve"> (código TARTAN FVC 100), em vidro, volcano e carbono, com área aberta de 21 % à escala de 100 % e peso de 1412 g/m² (± 5 %), reação ao fogo B-s1,d0.</w:t>
      </w:r>
    </w:p>
    <w:p>
      <w:pPr>
        <w:keepNext/>
        <w:spacing w:before="80" w:after="40" w:line="264" w:lineRule="auto"/>
      </w:pPr>
      <w:r>
        <w:rPr>
          <w:b/>
          <w:i w:val="0"/>
          <w:color w:val="B5523B"/>
          <w:sz w:val="18"/>
        </w:rPr>
        <w:t>[Opção G · Wien Straw]</w:t>
      </w:r>
    </w:p>
    <w:p>
      <w:pPr>
        <w:spacing w:before="0" w:after="100" w:line="288" w:lineRule="auto"/>
      </w:pPr>
      <w:r>
        <w:rPr>
          <w:sz w:val="20"/>
        </w:rPr>
        <w:t xml:space="preserve">Padrão </w:t>
      </w:r>
      <w:r>
        <w:rPr>
          <w:b/>
          <w:sz w:val="20"/>
        </w:rPr>
        <w:t>Wien Straw</w:t>
      </w:r>
      <w:r>
        <w:rPr>
          <w:sz w:val="20"/>
        </w:rPr>
        <w:t xml:space="preserve"> (código WIEN STRAW V 100), em volcano, com área aberta de 48 % à escala de 100 % e peso de 1142 g/m² (± 5 %), reação ao fogo B-s1,d0.</w:t>
      </w:r>
    </w:p>
    <w:p>
      <w:pPr>
        <w:keepNext/>
        <w:spacing w:before="80" w:after="40" w:line="264" w:lineRule="auto"/>
      </w:pPr>
      <w:r>
        <w:rPr>
          <w:b/>
          <w:i w:val="0"/>
          <w:color w:val="B5523B"/>
          <w:sz w:val="18"/>
        </w:rPr>
        <w:t>[Opção H · padrão desenhado para a obra]</w:t>
      </w:r>
    </w:p>
    <w:p>
      <w:pPr>
        <w:spacing w:before="0" w:after="100" w:line="288" w:lineRule="auto"/>
      </w:pPr>
      <w:r>
        <w:rPr>
          <w:sz w:val="20"/>
        </w:rPr>
        <w:t>Padrão exclusivo, desenhado com o projeto, em [fibra ou mescla], com área aberta de [ ] % e peso de [ ] g/m², confirmados pelo fabricante antes da aprovação do material. A classe de reação ao fogo do padrão exclusivo é demonstrada por relatório de classificação próprio.</w:t>
      </w:r>
    </w:p>
    <w:p>
      <w:pPr>
        <w:spacing w:before="0" w:after="100" w:line="288" w:lineRule="auto"/>
      </w:pPr>
      <w:r>
        <w:rPr>
          <w:sz w:val="20"/>
        </w:rPr>
        <w:t>Fibra ou mescla: [ ]. Escala do padrão: [ ] % (gama de 70 % a 200 %). Medidas de cada painel conforme as peças desenhadas.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malha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F2E0DC"/>
          <w:left w:val="nil"/>
          <w:bottom w:val="single" w:sz="4" w:color="F2E0DC"/>
          <w:right w:val="nil"/>
          <w:insideH w:val="single" w:sz="4" w:color="F2E0DC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Constituição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grelha multiaxial de fibras, sem tecelagem, com acabamento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Fibras</w:t>
            </w:r>
          </w:p>
        </w:tc>
        <w:tc>
          <w:tcPr>
            <w:tcW w:type="dxa" w:w="2795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[fibra ou mescla do padrão adotado]</w:t>
            </w:r>
          </w:p>
        </w:tc>
        <w:tc>
          <w:tcPr>
            <w:tcW w:type="dxa" w:w="1638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Espessura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2,5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Área aberta à escala de 100 %</w:t>
            </w:r>
          </w:p>
        </w:tc>
        <w:tc>
          <w:tcPr>
            <w:tcW w:type="dxa" w:w="2795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 %, a do padrão adotado no quadro de padrões</w:t>
            </w:r>
          </w:p>
        </w:tc>
        <w:tc>
          <w:tcPr>
            <w:tcW w:type="dxa" w:w="1638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Peso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 g/m² (± 5 %), o do padrão adotado no quadro de padrões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Reação ao fogo</w:t>
            </w:r>
          </w:p>
        </w:tc>
        <w:tc>
          <w:tcPr>
            <w:tcW w:type="dxa" w:w="2795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[B-s1,d0, no campo de aplicação do relatório, para a montagem prevista | classe exigida no projeto de segurança contra incêndio | sem exigência]</w:t>
            </w:r>
          </w:p>
        </w:tc>
        <w:tc>
          <w:tcPr>
            <w:tcW w:type="dxa" w:w="1638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13501-1</w:t>
            </w:r>
          </w:p>
        </w:tc>
        <w:tc>
          <w:tcPr>
            <w:tcW w:type="dxa" w:w="2024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classificação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Emissões de compostos orgânicos voláteis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A+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16000-9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Emissões de compostos orgânicos voláteis</w:t>
            </w:r>
          </w:p>
        </w:tc>
        <w:tc>
          <w:tcPr>
            <w:tcW w:type="dxa" w:w="2795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conforme</w:t>
            </w:r>
          </w:p>
        </w:tc>
        <w:tc>
          <w:tcPr>
            <w:tcW w:type="dxa" w:w="1638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CDPH 01350</w:t>
            </w:r>
          </w:p>
        </w:tc>
        <w:tc>
          <w:tcPr>
            <w:tcW w:type="dxa" w:w="2024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Garantia do fabricante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10 anos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garantia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Sistema de gestão da qualidade do fabricante</w:t>
            </w:r>
          </w:p>
        </w:tc>
        <w:tc>
          <w:tcPr>
            <w:tcW w:type="dxa" w:w="2795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certificado</w:t>
            </w:r>
          </w:p>
        </w:tc>
        <w:tc>
          <w:tcPr>
            <w:tcW w:type="dxa" w:w="1638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ISO 9001</w:t>
            </w:r>
          </w:p>
        </w:tc>
        <w:tc>
          <w:tcPr>
            <w:tcW w:type="dxa" w:w="2024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Certificado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Amostras.</w:t>
      </w:r>
      <w:r>
        <w:rPr>
          <w:sz w:val="20"/>
        </w:rPr>
        <w:t xml:space="preserve"> Amostras do padrão, da fibra e da escala adotados, aprovadas pelo projetista com a iluminação prevista.</w:t>
      </w:r>
    </w:p>
    <w:p>
      <w:pPr>
        <w:spacing w:before="0" w:after="100" w:line="288" w:lineRule="auto"/>
      </w:pPr>
      <w:r>
        <w:rPr>
          <w:b/>
          <w:sz w:val="20"/>
        </w:rPr>
        <w:t>Execução.</w:t>
      </w:r>
      <w:r>
        <w:rPr>
          <w:sz w:val="20"/>
        </w:rPr>
        <w:t xml:space="preserve"> A montagem segue as instruções do fabricante. As suspensões fixam-se à laje ou à estrutura, nunca a tetos falsos existentes. A malha é manuseada sem vincos, tensionada na direção indicada para o padrão e fica alinhada, sem pregas nem zonas soltas. Os módulos de teto que dão acesso a instalações ficam desmontáveis sem dano para a malha.</w:t>
      </w:r>
    </w:p>
    <w:p>
      <w:pPr>
        <w:spacing w:before="0" w:after="100" w:line="288" w:lineRule="auto"/>
      </w:pPr>
      <w:r>
        <w:rPr>
          <w:b/>
          <w:sz w:val="20"/>
        </w:rPr>
        <w:t>Ensaios e verificações.</w:t>
      </w:r>
      <w:r>
        <w:rPr>
          <w:sz w:val="20"/>
        </w:rPr>
        <w:t xml:space="preserve"> Verificação do código do produto, do padrão, da fibra e da escala de todos os painéis, das dimensões, do nivelamento e do alinhamento, da firmeza das suspensões e do tensionamento.</w:t>
      </w:r>
    </w:p>
    <w:p>
      <w:pPr>
        <w:spacing w:before="0" w:after="100" w:line="288" w:lineRule="auto"/>
      </w:pPr>
      <w:r>
        <w:rPr>
          <w:b/>
          <w:sz w:val="20"/>
        </w:rPr>
        <w:t>Receção.</w:t>
      </w:r>
      <w:r>
        <w:rPr>
          <w:sz w:val="20"/>
        </w:rPr>
        <w:t xml:space="preserve"> Receção após a verificação anterior, com a entrega da documentação. Os painéis com danos, vincos permanentes ou tensionamento irregular são substituídos ou retensionados antes da receção.</w:t>
      </w:r>
    </w:p>
    <w:p>
      <w:pPr>
        <w:spacing w:before="0" w:after="100" w:line="288" w:lineRule="auto"/>
      </w:pPr>
      <w:r>
        <w:rPr>
          <w:b/>
          <w:sz w:val="20"/>
        </w:rPr>
        <w:t>Garantias.</w:t>
      </w:r>
      <w:r>
        <w:rPr>
          <w:sz w:val="20"/>
        </w:rPr>
        <w:t xml:space="preserve"> Garantia do fabricante de 10 anos para a malha; as do empreiteiro para os caixilhos, as suspensões e a montagem, nos termos legais.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Fichas técnicas dos padrões fornecidos, relatório de classificação de reação ao fogo (EN 13501-1) com o campo de aplicação quando exigido, declaração de correspondência entre o produto fornecido e o ensaiado e instruções de manutenção. Limpeza com água doce e detergente suave, sem álcool, lixívia nem acetona. Para gorduras ou óleos, o procedimento confirma-se com o fabricante.</w:t>
      </w:r>
    </w:p>
    <w:p>
      <w:pPr>
        <w:keepNext/>
        <w:spacing w:before="280" w:after="100" w:line="252" w:lineRule="auto"/>
        <w:pBdr>
          <w:bottom w:val="single" w:sz="6" w:space="4" w:color="F2E0DC"/>
        </w:pBdr>
      </w:pPr>
      <w:r>
        <w:rPr>
          <w:b/>
          <w:color w:val="B5523B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Arquitetura · Tetos, divisórias e acabamentos interiores.</w:t>
      </w:r>
    </w:p>
    <w:p>
      <w:pPr>
        <w:spacing w:before="0" w:after="100" w:line="288" w:lineRule="auto"/>
      </w:pPr>
      <w:r>
        <w:rPr>
          <w:b/>
          <w:sz w:val="20"/>
        </w:rPr>
        <w:t>Critérios de medição.</w:t>
      </w:r>
      <w:r>
        <w:rPr>
          <w:sz w:val="20"/>
        </w:rPr>
        <w:t xml:space="preserve"> Malha: por área de painel (m²), medida pelas dimensões exteriores do caixilho ou do perímetro tensionado, sem dedução de aberturas do padrão. Divisórias autoportantes e volumes suspensos: em alternativa, por unidade, identificada pelas dimensões.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F2E0DC"/>
          <w:left w:val="nil"/>
          <w:bottom w:val="single" w:sz="4" w:color="F2E0DC"/>
          <w:right w:val="nil"/>
          <w:insideH w:val="single" w:sz="4" w:color="F2E0DC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B5523B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Teto em malha técnica multiaxial i-Mesh, ou equivalente, padrão [ ], fibra [ ], escala [ ] %, montagem [ ], incluindo suspensões e acessórios,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Divisória em malha técnica multiaxial i-Mesh, ou equivalente, padrão [ ], fibra [ ], escala [ ] %, em caixilho de [ ], incluindo fixações, conforme caderno de encargos</w:t>
            </w:r>
          </w:p>
        </w:tc>
        <w:tc>
          <w:tcPr>
            <w:tcW w:type="dxa" w:w="771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  <w:shd w:val="clear" w:color="auto" w:fill="FCF8F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Divisória autoportante ou volume suspenso, [largura × altura] cm, idem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FAF3F1"/>
            <w:tcBorders>
              <w:left w:val="single" w:sz="18" w:color="B5523B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painéis do mesmo padrão, fibra, escala e montagem agrupam-se numa só linha.</w:t>
            </w:r>
          </w:p>
        </w:tc>
      </w:tr>
    </w:tbl>
    <w:p>
      <w:pPr>
        <w:spacing w:after="0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archiskin, iguais aos das fichas técnicas i-Mesh. Os valores declarados são os do fabricante e podem ser alterados por ele; convém confirmar a versão em vigor antes de prescrever.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B5523B"/>
      </w:pBdr>
    </w:pPr>
    <w:r>
      <w:rPr>
        <w:b/>
        <w:color w:val="B5523B"/>
        <w:sz w:val="16"/>
      </w:rPr>
      <w:t>archiskin.pt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A archiskin é representante em Portugal da i-Mesh, em toda a gama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Texto de especificação · i-Mesh · tetos e divisórias interiores · archiskin.pt · i-Mesh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481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19340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skin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340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771864" cy="198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-mesh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864" cy="19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F2E0DC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especificação: Tetos e divisórias interiores em malha i-Mesh · archiskin</dc:title>
  <dc:subject>Memória descritiva, caderno de encargos e mapa de quantidades</dc:subject>
  <dc:creator>archiskin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