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4F6B2A"/>
          <w:sz w:val="15"/>
        </w:rPr>
        <w:t>TEXTO DE ESPECIFICAÇÃO · ARCHIROOF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Cobertura de retenção de água Nophadrain</w:t>
      </w:r>
    </w:p>
    <w:p>
      <w:pPr>
        <w:spacing w:before="0" w:after="200" w:line="264" w:lineRule="auto"/>
        <w:pBdr>
          <w:bottom w:val="single" w:sz="8" w:space="4" w:color="4F6B2A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archiroof e coincidem com os das fichas técnicas e da calculadora archiroof.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1. Memória descritiva</w:t>
      </w:r>
    </w:p>
    <w:p>
      <w:pPr>
        <w:spacing w:before="0" w:after="100" w:line="288" w:lineRule="auto"/>
      </w:pPr>
      <w:r>
        <w:rPr>
          <w:sz w:val="20"/>
        </w:rPr>
        <w:t>Texto justificativo para integrar na memória descritiva do projeto de arquitetura ou de arquitetura paisagista.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Solução</w:t>
      </w:r>
    </w:p>
    <w:p>
      <w:pPr>
        <w:spacing w:before="0" w:after="100" w:line="288" w:lineRule="auto"/>
      </w:pPr>
      <w:r>
        <w:rPr>
          <w:sz w:val="20"/>
        </w:rPr>
        <w:t>Prevê-se uma cobertura de retenção de água (azul-verde), com uma área de [ ] m², que guarda a água da chuva em elementos de retenção sob a vegetação, regula o caudal descarregado para a rede pluvial e devolve parte da água às plantas por capilaridade. A vegetação é [extensiva | semi-intensiva | intensiva], com a espessura de substrato própria de cada tipo: 8 a 15 cm na extensiva, 15 a 25 cm na semi-intensiva e mais de 25 cm na intensiva.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Constituição</w:t>
      </w:r>
    </w:p>
    <w:p>
      <w:pPr>
        <w:spacing w:before="0" w:after="100" w:line="288" w:lineRule="auto"/>
      </w:pPr>
      <w:r>
        <w:rPr>
          <w:sz w:val="20"/>
        </w:rPr>
        <w:t>De cima para baixo: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Vegetação</w:t>
      </w:r>
      <w:r>
        <w:rPr>
          <w:sz w:val="20"/>
        </w:rPr>
        <w:t>: extensiva, semi-intensiva ou intensiva.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Substrato</w:t>
      </w:r>
      <w:r>
        <w:rPr>
          <w:sz w:val="20"/>
        </w:rPr>
        <w:t>: espessura conforme o tipo de vegetação. Produto de referência: ND DGS-E ou ND DGS-I.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Geotêxtil e tiras capilares</w:t>
      </w:r>
      <w:r>
        <w:rPr>
          <w:sz w:val="20"/>
        </w:rPr>
        <w:t>: levam a água armazenada de volta ao substrato por capilaridade. Produto de referência: ND KV-200, ND KS.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Elementos de retenção</w:t>
      </w:r>
      <w:r>
        <w:rPr>
          <w:sz w:val="20"/>
        </w:rPr>
        <w:t xml:space="preserve"> (50 a 100 mm): guardam a água da chuva, com mais de 90 % de volume livre. Produto de referência: ND WSE-80, ND WSE-100.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Geotêxtil de proteção</w:t>
      </w:r>
      <w:r>
        <w:rPr>
          <w:sz w:val="20"/>
        </w:rPr>
        <w:t xml:space="preserve"> (3 mm): protege a impermeabilização. Produto de referência: ND SV-300.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Impermeabilização</w:t>
      </w:r>
      <w:r>
        <w:rPr>
          <w:sz w:val="20"/>
        </w:rPr>
        <w:t>: qualquer sistema, resistente a raízes, numa cobertura de pendente nula.</w:t>
      </w:r>
    </w:p>
    <w:p>
      <w:pPr>
        <w:pStyle w:val="ListBullet"/>
        <w:spacing w:before="0" w:after="40" w:line="276" w:lineRule="auto"/>
      </w:pPr>
      <w:r>
        <w:rPr>
          <w:b/>
          <w:sz w:val="20"/>
        </w:rPr>
        <w:t>Laje de cobertura</w:t>
      </w:r>
      <w:r>
        <w:rPr>
          <w:sz w:val="20"/>
        </w:rPr>
        <w:t>: suporte estrutural. A retenção funciona com pendente nula.</w:t>
      </w:r>
    </w:p>
    <w:p>
      <w:pPr>
        <w:spacing w:before="0" w:after="100" w:line="288" w:lineRule="auto"/>
      </w:pPr>
      <w:r>
        <w:rPr>
          <w:sz w:val="20"/>
        </w:rPr>
        <w:t>O sistema aplica-se sobre qualquer impermeabilização (betuminosa, PVC, EPDM, líquida), resistente a raízes ou com barreira antirraiz. A impermeabilização, os seus remates e o respetivo ensaio são objeto de capítulo próprio do projeto e não fazem parte deste texto.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Retenção, caudal e cargas</w:t>
      </w:r>
    </w:p>
    <w:p>
      <w:pPr>
        <w:spacing w:before="0" w:after="100" w:line="288" w:lineRule="auto"/>
      </w:pPr>
      <w:r>
        <w:rPr>
          <w:sz w:val="20"/>
        </w:rPr>
        <w:t>Valores indicativos do sistema extensivo, a confirmar no projeto:</w:t>
      </w:r>
    </w:p>
    <w:p>
      <w:pPr>
        <w:pStyle w:val="ListBullet"/>
        <w:spacing w:before="0" w:after="40" w:line="276" w:lineRule="auto"/>
      </w:pPr>
      <w:r>
        <w:rPr>
          <w:sz w:val="20"/>
        </w:rPr>
        <w:t>≈ 100 l/m² · retenção (sistema extensivo)</w:t>
      </w:r>
    </w:p>
    <w:p>
      <w:pPr>
        <w:pStyle w:val="ListBullet"/>
        <w:spacing w:before="0" w:after="40" w:line="276" w:lineRule="auto"/>
      </w:pPr>
      <w:r>
        <w:rPr>
          <w:sz w:val="20"/>
        </w:rPr>
        <w:t>≈ 186 kg/m² · peso saturado (extensivo)</w:t>
      </w:r>
    </w:p>
    <w:p>
      <w:pPr>
        <w:pStyle w:val="ListBullet"/>
        <w:spacing w:before="0" w:after="40" w:line="276" w:lineRule="auto"/>
      </w:pPr>
      <w:r>
        <w:rPr>
          <w:sz w:val="20"/>
        </w:rPr>
        <w:t>0,09–3,08 l/s · caudal regulável por saída</w:t>
      </w:r>
    </w:p>
    <w:p>
      <w:pPr>
        <w:pStyle w:val="ListBullet"/>
        <w:spacing w:before="0" w:after="40" w:line="276" w:lineRule="auto"/>
      </w:pPr>
      <w:r>
        <w:rPr>
          <w:sz w:val="20"/>
        </w:rPr>
        <w:t>0° · pendente da cobertura</w:t>
      </w:r>
    </w:p>
    <w:p>
      <w:pPr>
        <w:spacing w:before="0" w:after="100" w:line="288" w:lineRule="auto"/>
      </w:pPr>
      <w:r>
        <w:rPr>
          <w:sz w:val="20"/>
        </w:rPr>
        <w:t>Volume de retenção exigido: [ ] l/m², a partir do caudal máximo de descarga fixado pela entidade gestora ou pelo projeto, de [ ] l/s, e da chuvada de projeto. A intensidade da chuvada de projeto resulta das curvas intensidade-duração-frequência do Decreto Regulamentar n.º 23/95 (Anexo IX), para a região pluviométrica do local (A, B ou C, incluindo as Regiões Autónomas) e o período de retorno adotado. O peso com a camada de retenção cheia entra no cálculo estrutural: [ ] kg/m² (calculadora archiroof).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Ação do vento</w:t>
      </w:r>
    </w:p>
    <w:p>
      <w:pPr>
        <w:spacing w:before="0" w:after="100" w:line="288" w:lineRule="auto"/>
      </w:pPr>
      <w:r>
        <w:rPr>
          <w:sz w:val="20"/>
        </w:rPr>
        <w:t>O sistema resiste à sucção do vento pelo seu próprio peso, sem fixações à laje. A ação do vento determina-se segundo a NP EN 1991-1-4 e o respetivo Anexo Nacional, com a zona e a categoria de terreno do local, incluindo as Regiões Autónomas da Madeira e dos Açores. As cargas mínimas de referência do sistema em estado seco são as seguintes, maiores nos cantos e na periferia do que na zona central da cobertura: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855"/>
        <w:gridCol w:w="2891"/>
        <w:gridCol w:w="2891"/>
      </w:tblGrid>
      <w:tr>
        <w:trPr>
          <w:tblHeader w:val="true"/>
          <w:cantSplit/>
        </w:trPr>
        <w:tc>
          <w:tcPr>
            <w:tcW w:type="dxa" w:w="385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Altura do edifício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Cantos e periferia (kg/m²)</w:t>
            </w:r>
          </w:p>
        </w:tc>
        <w:tc>
          <w:tcPr>
            <w:tcW w:type="dxa" w:w="289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Zona central (kg/m²)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&lt; 8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 a 22 m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160</w:t>
            </w:r>
          </w:p>
        </w:tc>
        <w:tc>
          <w:tcPr>
            <w:tcW w:type="dxa" w:w="289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60</w:t>
            </w:r>
          </w:p>
        </w:tc>
      </w:tr>
      <w:tr>
        <w:trPr>
          <w:cantSplit/>
        </w:trPr>
        <w:tc>
          <w:tcPr>
            <w:tcW w:type="dxa" w:w="385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22 m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200</w:t>
            </w:r>
          </w:p>
        </w:tc>
        <w:tc>
          <w:tcPr>
            <w:tcW w:type="dxa" w:w="289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80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Nos cantos e na periferia, onde a carga do sistema não chega ao valor exigido, usa-se uma faixa de gravilha ou de lajetas, com a largura e o peso definidos no projeto: [ ] m e [ ] kg/m².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Pendentes e remates</w:t>
      </w:r>
    </w:p>
    <w:p>
      <w:pPr>
        <w:spacing w:before="0" w:after="100" w:line="288" w:lineRule="auto"/>
      </w:pPr>
      <w:r>
        <w:rPr>
          <w:sz w:val="20"/>
        </w:rPr>
        <w:t>A laje tem pendente nula, condição para a retenção funcionar em toda a área. Os remates verticais da impermeabilização sobem acima do nível máximo de água retida, com a folga definida no projeto: [ ] mm. Em cobertura invertida, cumprem-se os requisitos próprios das coberturas de retenção com isolamento invertido, incluindo o esvaziamento periódico da camada de retenção.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Rega</w:t>
      </w:r>
    </w:p>
    <w:p>
      <w:pPr>
        <w:spacing w:before="0" w:after="100" w:line="288" w:lineRule="auto"/>
      </w:pPr>
      <w:r>
        <w:rPr>
          <w:sz w:val="20"/>
        </w:rPr>
        <w:t>A água retida volta às plantas por capilaridade e reduz a rega. No verão português, a rega gota a gota continua necessária; com aproveitamento de águas pluviais, a cisterna é maior do que no centro e norte da Europa. O sistema é comandado por programador com sensor de humidade do substrato e dividido em zonas por tipo de plantação e exposição. O tubo gotejador é autocompensante, com válvula antirretorno, em duas posições possíveis: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tubo gotejador à superfície do substrato]</w:t>
      </w:r>
    </w:p>
    <w:p>
      <w:pPr>
        <w:spacing w:before="0" w:after="100" w:line="288" w:lineRule="auto"/>
      </w:pPr>
      <w:r>
        <w:rPr>
          <w:sz w:val="20"/>
        </w:rPr>
        <w:t>Tubo gotejador comum, assente à superfície do substrato, com as linhas junto das plantas, na plantação em alvéolo, por estacas ou em vaso.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tubo gotejador sob tapete pré-cultivado]</w:t>
      </w:r>
    </w:p>
    <w:p>
      <w:pPr>
        <w:spacing w:before="0" w:after="100" w:line="288" w:lineRule="auto"/>
      </w:pPr>
      <w:r>
        <w:rPr>
          <w:sz w:val="20"/>
        </w:rPr>
        <w:t>Tubo gotejador com proteção antirraízes, colocado por baixo dos tapetes de vegetação pré-cultivados.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· aproveitamento de águas pluviais]</w:t>
      </w:r>
    </w:p>
    <w:p>
      <w:pPr>
        <w:spacing w:before="0" w:after="100" w:line="288" w:lineRule="auto"/>
      </w:pPr>
      <w:r>
        <w:rPr>
          <w:sz w:val="20"/>
        </w:rPr>
        <w:t>A água de rega provém de cisterna de águas pluviais, segundo a especificação técnica ETA 0701 da ANQIP, dimensionada para o verão do local.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Vegetação</w:t>
      </w:r>
    </w:p>
    <w:p>
      <w:pPr>
        <w:spacing w:before="0" w:after="100" w:line="288" w:lineRule="auto"/>
      </w:pPr>
      <w:r>
        <w:rPr>
          <w:sz w:val="20"/>
        </w:rPr>
        <w:t>Vegetação [extensiva | semi-intensiva | intensiva], segundo o texto de especificação do tipo correspondente. A escolha das espécies tem em conta a zona climática do local, no Continente, na Madeira (litoral ou altitude) ou nos Açores, e a exposição ao sol e ao vento, com preferência por espécies autóctones ou mediterrânicas. O guia de plantas archiroof classifica as espécies recomendadas para cada uma destas zonas. Excluem-se as espécies das listas legais de espécies invasoras: Anexo II do Decreto-Lei n.º 92/2019 no Continente, Anexo II do Decreto Legislativo Regional n.º 17/2023/M na Região Autónoma da Madeira e Anexo IX do Decreto Legislativo Regional n.º 15/2012/A na Região Autónoma dos Açores.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Manutenção</w:t>
      </w:r>
    </w:p>
    <w:p>
      <w:pPr>
        <w:spacing w:before="0" w:after="100" w:line="288" w:lineRule="auto"/>
      </w:pPr>
      <w:r>
        <w:rPr>
          <w:sz w:val="20"/>
        </w:rPr>
        <w:t>Verificação do regulador de caudal, dos ralos e das caixas de inspeção, além da manutenção própria da vegetação.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Cobertura de retenção de água Nophadrain com geotêxtil de proteção, elementos de retenção [ND WSE-80 | ND WSE-100 | ND WSE-100hd] de 50 a 100 mm, geotêxtil capilar ND KV-200 com tiras capilares ND KS, substrato e vegetação [extensiva | semi-intensiva | intensiva] e regulador de caudal ND AFC-100 por saída, em [ ] m² de cobertura de pendente nula.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2. Caderno de encargos</w:t>
      </w:r>
    </w:p>
    <w:p>
      <w:pPr>
        <w:spacing w:before="0" w:after="100" w:line="288" w:lineRule="auto"/>
      </w:pPr>
      <w:r>
        <w:rPr>
          <w:sz w:val="20"/>
        </w:rPr>
        <w:t>Todos os artigos incluem o fornecimento, o transporte, a elevação à cobertura, a colocação e os trabalhos acessórios necessários.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Geotêxtil de proteção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Geotêxtil de proteção do tipo </w:t>
      </w:r>
      <w:r>
        <w:rPr>
          <w:b/>
          <w:sz w:val="20"/>
        </w:rPr>
        <w:t>ND SV-300</w:t>
      </w:r>
      <w:r>
        <w:rPr>
          <w:sz w:val="20"/>
        </w:rPr>
        <w:t xml:space="preserve"> da Nophadrain (3 mm), ou equivalente previamente aprovado pela fiscalização, sobre a impermeabilização, com sobreposições de pelo menos [ ] mm. Com vegetação intensiva, geotêxtil de proteção ND SV-500 ou ND SV-500M. Massa por unidade de área: ≥ [ ] g/m²; resistência ao punçoamento estático CBR (EN ISO 12236): ≥ [ ] kN.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Elementos de retenção de água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colocação de elementos de retenção de água com 50 a 100 mm de altura e acoplamento entre elementos, sobre o geotêxtil de proteção, em toda a área de retenção.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A · ND WSE-80, vegetação extensiva]</w:t>
      </w:r>
    </w:p>
    <w:p>
      <w:pPr>
        <w:spacing w:before="0" w:after="100" w:line="288" w:lineRule="auto"/>
      </w:pPr>
      <w:r>
        <w:rPr>
          <w:sz w:val="20"/>
        </w:rPr>
        <w:t xml:space="preserve">Elementos de retenção de água do tipo </w:t>
      </w:r>
      <w:r>
        <w:rPr>
          <w:b/>
          <w:sz w:val="20"/>
        </w:rPr>
        <w:t>ND WSE-80</w:t>
      </w:r>
      <w:r>
        <w:rPr>
          <w:sz w:val="20"/>
        </w:rPr>
        <w:t xml:space="preserve"> da Nophadrain, ou equivalente previamente aprovado pela fiscalização, em poliestireno reciclado (HIPS).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elemento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retenção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72 l/m²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vazios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90 %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140 kPa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de drenagem no plano, pendente de 2 %, a 20 kPa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4,2 l/(s·m)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B · ND WSE-100, vegetação intensiva com superfícies acessíveis]</w:t>
      </w:r>
    </w:p>
    <w:p>
      <w:pPr>
        <w:spacing w:before="0" w:after="100" w:line="288" w:lineRule="auto"/>
      </w:pPr>
      <w:r>
        <w:rPr>
          <w:sz w:val="20"/>
        </w:rPr>
        <w:t xml:space="preserve">Elementos de retenção de água do tipo </w:t>
      </w:r>
      <w:r>
        <w:rPr>
          <w:b/>
          <w:sz w:val="20"/>
        </w:rPr>
        <w:t>ND WSE-100</w:t>
      </w:r>
      <w:r>
        <w:rPr>
          <w:sz w:val="20"/>
        </w:rPr>
        <w:t xml:space="preserve"> da Nophadrain, ou equivalente previamente aprovado pela fiscalização, em LDPE reciclado.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elemento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retenção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l/m²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vazios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90 %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245 kPa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Superfície aberta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65 %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Durabilidade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 anos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80" w:after="40" w:line="264" w:lineRule="auto"/>
      </w:pPr>
      <w:r>
        <w:rPr>
          <w:b/>
          <w:i w:val="0"/>
          <w:color w:val="4F6B2A"/>
          <w:sz w:val="18"/>
        </w:rPr>
        <w:t>[Opção C · ND WSE-100hd, superfícies transitáveis por peões ou veículos]</w:t>
      </w:r>
    </w:p>
    <w:p>
      <w:pPr>
        <w:spacing w:before="0" w:after="100" w:line="288" w:lineRule="auto"/>
      </w:pPr>
      <w:r>
        <w:rPr>
          <w:sz w:val="20"/>
        </w:rPr>
        <w:t xml:space="preserve">Elementos de retenção de água do tipo </w:t>
      </w:r>
      <w:r>
        <w:rPr>
          <w:b/>
          <w:sz w:val="20"/>
        </w:rPr>
        <w:t>ND WSE-100hd</w:t>
      </w:r>
      <w:r>
        <w:rPr>
          <w:sz w:val="20"/>
        </w:rPr>
        <w:t xml:space="preserve"> da Nophadrain, ou equivalente previamente aprovado pela fiscalização, em polipropileno (PP) reciclado.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elemento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retenção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95 l/m²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Volume de vazios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90 %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Resistência à compressão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725 kPa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Superfície aberta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65 %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Durabilidade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50 anos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Geotêxtil capilar e tiras capilares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Geotêxtil capilar do tipo </w:t>
      </w:r>
      <w:r>
        <w:rPr>
          <w:b/>
          <w:sz w:val="20"/>
        </w:rPr>
        <w:t>ND KV-200</w:t>
      </w:r>
      <w:r>
        <w:rPr>
          <w:sz w:val="20"/>
        </w:rPr>
        <w:t xml:space="preserve"> da Nophadrain, em PES/PA, com 1 mm de espessura e 150 g/m², classe de robustez GRK3, e tiras capilares do tipo </w:t>
      </w:r>
      <w:r>
        <w:rPr>
          <w:b/>
          <w:sz w:val="20"/>
        </w:rPr>
        <w:t>ND KS</w:t>
      </w:r>
      <w:r>
        <w:rPr>
          <w:sz w:val="20"/>
        </w:rPr>
        <w:t xml:space="preserve"> (R-PET/PA), ou equivalentes previamente aprovados pela fiscalização, na quantidade indicada pelo fabricante: para ND WSE-50 / ND WSE-50hd, ND WSE-100 e ND WSE-100hd: 1 tira por elemento; para utilização no ND WSE-80: 3 tiras por elemento. Sem tiras capilares, o filtro é o geotêxtil ND FV-300, da classe GRK5.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Regulador de caudal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Regulador de caudal do tipo </w:t>
      </w:r>
      <w:r>
        <w:rPr>
          <w:b/>
          <w:sz w:val="20"/>
        </w:rPr>
        <w:t>ND AFC-100</w:t>
      </w:r>
      <w:r>
        <w:rPr>
          <w:sz w:val="20"/>
        </w:rPr>
        <w:t xml:space="preserve"> da Nophadrain, ou equivalente previamente aprovado pela fiscalização, em cada saída de águas pluviais, com caudal regulável (0,09–3,08 l/s por saída) e afinado para [ ] l/s, em caixa de inspeção acessível.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Substrato extensivo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 e espalhamento de substrato extensivo do tipo </w:t>
      </w:r>
      <w:r>
        <w:rPr>
          <w:b/>
          <w:sz w:val="20"/>
        </w:rPr>
        <w:t>ND DGS-E</w:t>
      </w:r>
      <w:r>
        <w:rPr>
          <w:sz w:val="20"/>
        </w:rPr>
        <w:t xml:space="preserve"> da Nophadrain, ou equivalente previamente aprovado pela fiscalização, mistura de substrato mineral e orgânico, com [ ] mm de espessura final, com a espessura do tipo de vegetação adotado; em vegetação intensiva, substrato ND DGS-I. A espessura indicada é a final: o substrato coloca-se com a sobre-espessura correspondente ao assentamento (cerca de 15 %).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O substrato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Conformidade com as diretrizes FLL para substratos de coberturas verdes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Capacidade máxima de retenção de água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&gt; 44 % em volume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saturada (valor considerado no cálculo das cargas)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1,4 t/m³)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Massa volúmica seca (valor considerado na estabilidade ao vento)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 t/m³ (referência da ficha técnica: cerca de 0,95 t/m³)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Teor de matéria orgânica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das Diretrizes FLL para o tipo de substrato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Valor de pH</w:t>
            </w:r>
          </w:p>
        </w:tc>
        <w:tc>
          <w:tcPr>
            <w:tcW w:type="dxa" w:w="2795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5 a 7,5</w:t>
            </w:r>
          </w:p>
        </w:tc>
        <w:tc>
          <w:tcPr>
            <w:tcW w:type="dxa" w:w="1638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Granulometria e permeabilidade à água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dentro dos limites FLL para substrato extensivo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Diretrizes FLL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 substrato espalha-se a granel, por insuflação pneumática ou a partir de sacos, sem compactação mecânica e sem circulação de máquinas sobre as camadas inferiores. A espessura verifica-se em pontos marcados nas peças desenhadas.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Rega gota a gota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Sistema de rega gota a gota completo, com tubo gotejador autocompensante com válvula antirretorno na posição da opção adotada na memória descritiva, programador, sensor de humidade do substrato, eletroválvulas por zona, filtro, redutor de pressão e ligação à rede ou à cisterna de águas pluviais, conforme o projeto de rega.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Vegetação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Vegetação [extensiva | semi-intensiva | intensiva], segundo o artigo correspondente do texto de especificação desse tipo de cobertura.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Disposições comuns</w:t>
      </w:r>
    </w:p>
    <w:p>
      <w:pPr>
        <w:spacing w:before="0" w:after="100" w:line="288" w:lineRule="auto"/>
      </w:pPr>
      <w:r>
        <w:rPr>
          <w:b/>
          <w:sz w:val="20"/>
        </w:rPr>
        <w:t>Execução.</w:t>
      </w:r>
      <w:r>
        <w:rPr>
          <w:sz w:val="20"/>
        </w:rPr>
        <w:t xml:space="preserve"> Os trabalhos seguem as instruções do fabricante e o Guia Técnico da ANCV. Os materiais armazenam-se protegidos e os produtos sintéticos ficam cobertos pelas camadas seguintes no prazo indicado na respetiva ficha técnica. Não se circula com cargas sobre as camadas já colocadas sem proteção.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Ensaios e verificações</w:t>
      </w:r>
    </w:p>
    <w:p>
      <w:pPr>
        <w:pStyle w:val="ListBullet"/>
        <w:spacing w:before="0" w:after="40" w:line="276" w:lineRule="auto"/>
      </w:pPr>
      <w:r>
        <w:rPr>
          <w:sz w:val="20"/>
        </w:rPr>
        <w:t>Antes do substrato: verificação da continuidade do sistema de drenagem, das sobreposições, dos remates e da limpeza dos ralos e caixas de inspeção.</w:t>
      </w:r>
    </w:p>
    <w:p>
      <w:pPr>
        <w:pStyle w:val="ListBullet"/>
        <w:spacing w:before="0" w:after="40" w:line="276" w:lineRule="auto"/>
      </w:pPr>
      <w:r>
        <w:rPr>
          <w:sz w:val="20"/>
        </w:rPr>
        <w:t>Espessura final do substrato, medida nos pontos marcados nas peças desenhadas.</w:t>
      </w:r>
    </w:p>
    <w:p>
      <w:pPr>
        <w:pStyle w:val="ListBullet"/>
        <w:spacing w:before="0" w:after="40" w:line="276" w:lineRule="auto"/>
      </w:pPr>
      <w:r>
        <w:rPr>
          <w:sz w:val="20"/>
        </w:rPr>
        <w:t>Ensaio de funcionamento da rega por zona: pressão, débito, estanquidade das ligações e funcionamento do programador e do sensor de humidade.</w:t>
      </w:r>
    </w:p>
    <w:p>
      <w:pPr>
        <w:pStyle w:val="ListBullet"/>
        <w:spacing w:before="0" w:after="40" w:line="276" w:lineRule="auto"/>
      </w:pPr>
      <w:r>
        <w:rPr>
          <w:sz w:val="20"/>
        </w:rPr>
        <w:t>Afinação e verificação do caudal de cada regulador; verificação dos ralos e das caixas de inspeção.</w:t>
      </w:r>
    </w:p>
    <w:p>
      <w:pPr>
        <w:spacing w:before="0" w:after="100" w:line="288" w:lineRule="auto"/>
      </w:pPr>
      <w:r>
        <w:rPr>
          <w:b/>
          <w:sz w:val="20"/>
        </w:rPr>
        <w:t>Receção.</w:t>
      </w:r>
      <w:r>
        <w:rPr>
          <w:sz w:val="20"/>
        </w:rPr>
        <w:t xml:space="preserve"> Verificação, com a fiscalização, das camadas executadas, das guias de remessa e dos lotes de cada material, da cobertura vegetal, das faixas sem vegetação, dos ralos e das caixas de inspeção. A receção provisória da vegetação faz-se depois do período de instalação definido no projeto: [ ] meses.</w:t>
      </w:r>
    </w:p>
    <w:p>
      <w:pPr>
        <w:spacing w:before="0" w:after="100" w:line="288" w:lineRule="auto"/>
      </w:pPr>
      <w:r>
        <w:rPr>
          <w:b/>
          <w:sz w:val="20"/>
        </w:rPr>
        <w:t>Garantias.</w:t>
      </w:r>
      <w:r>
        <w:rPr>
          <w:sz w:val="20"/>
        </w:rPr>
        <w:t xml:space="preserve"> As do fabricante para os produtos; as do empreiteiro para a execução, nos termos legais. A garantia da vegetação fica condicionada à manutenção segundo o plano entregue.</w:t>
      </w:r>
    </w:p>
    <w:p>
      <w:pPr>
        <w:spacing w:before="0" w:after="100" w:line="288" w:lineRule="auto"/>
      </w:pPr>
      <w:r>
        <w:rPr>
          <w:b/>
          <w:sz w:val="20"/>
        </w:rPr>
        <w:t>Documentação.</w:t>
      </w:r>
      <w:r>
        <w:rPr>
          <w:sz w:val="20"/>
        </w:rPr>
        <w:t xml:space="preserve"> Fichas técnicas, declarações de desempenho dos sistemas de drenagem, relatórios de ensaio do substrato e da barreira antirraiz quando aplicada, telas finais da rega e plano de manutenção.</w:t>
      </w:r>
    </w:p>
    <w:p>
      <w:pPr>
        <w:keepNext/>
        <w:spacing w:before="280" w:after="100" w:line="252" w:lineRule="auto"/>
        <w:pBdr>
          <w:bottom w:val="single" w:sz="6" w:space="4" w:color="DFE4D9"/>
        </w:pBdr>
      </w:pPr>
      <w:r>
        <w:rPr>
          <w:b/>
          <w:color w:val="4F6B2A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Coberturas · Cobertura de retenção de água.</w:t>
      </w:r>
    </w:p>
    <w:p>
      <w:pPr>
        <w:spacing w:before="0" w:after="100" w:line="288" w:lineRule="auto"/>
      </w:pPr>
      <w:r>
        <w:rPr>
          <w:b/>
          <w:sz w:val="20"/>
        </w:rPr>
        <w:t>Critério de medição:</w:t>
      </w:r>
      <w:r>
        <w:rPr>
          <w:sz w:val="20"/>
        </w:rPr>
        <w:t xml:space="preserve"> camadas por área (m²); reguladores de caudal e caixas de inspeção por unidade (un.).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FE4D9"/>
          <w:left w:val="nil"/>
          <w:bottom w:val="single" w:sz="4" w:color="DFE4D9"/>
          <w:right w:val="nil"/>
          <w:insideH w:val="single" w:sz="4" w:color="DFE4D9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4F6B2A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Geotêxtil de proteção ND SV-300, ou equivalente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Elementos de retenção de água [ND WSE-80 | ND WSE-100 | ND WSE-100hd], ou equivalente, conforme caderno de encargos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Geotêxtil capilar ND KV-200 e tiras capilares ND KS, ou equivalentes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Substrato [ND DGS-E | ND DGS-I], ou equivalente, [ ] mm de espessura final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Rega gota a gota, opção [A | B], incluindo programador, sensor de humidade e ligações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Vegetação [extensiva | semi-intensiva | intensiva]</w:t>
            </w:r>
          </w:p>
        </w:tc>
        <w:tc>
          <w:tcPr>
            <w:tcW w:type="dxa" w:w="771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m²</w:t>
            </w:r>
          </w:p>
        </w:tc>
        <w:tc>
          <w:tcPr>
            <w:tcW w:type="dxa" w:w="1157"/>
            <w:shd w:val="clear" w:color="auto" w:fill="F8F9F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Regulador de caudal ND AFC-100, ou equivalente, em caixa de inspeção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F3F5F0"/>
            <w:tcBorders>
              <w:left w:val="single" w:sz="18" w:color="4F6B2A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A impermeabilização mede-se no capítulo próprio. Áreas medidas em projeção horizontal, sem descontar vãos inferiores a [1] m².</w:t>
            </w:r>
          </w:p>
        </w:tc>
      </w:tr>
    </w:tbl>
    <w:p>
      <w:pPr>
        <w:spacing w:after="0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das fichas técnicas Nophadrain publicadas pela archiroof, das páginas de soluções e da calculadora archiroof. Os valores declarados são os do fabricante e podem ser alterados por ele; a versão em vigor confirma-se antes de prescrever. Espessuras de substrato, pendentes, faixas sem vegetação, rega, cargas da vegetação e lastro contra o vento: Guia Técnico da Associação Nacional de Coberturas Verdes (ANCV), com os quadros 14 (segundo as Diretrizes FLL, 2018) e 15 (segundo a NTJ 11C, 2012).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4F6B2A"/>
      </w:pBdr>
    </w:pPr>
    <w:r>
      <w:rPr>
        <w:b/>
        <w:color w:val="4F6B2A"/>
        <w:sz w:val="16"/>
      </w:rPr>
      <w:t>archiroof.pt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A archiroof é distribuidora em Portugal dos sistemas Nophadrain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Cobertura de retenção de água Nophadrain · archiroof.pt · Nophadrain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481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19340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roof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340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84000" cy="216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nophadrain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00" cy="21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FE4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especificação: Cobertura de retenção de água (azul-verde) · archiroof</dc:title>
  <dc:subject>Memória descritiva, caderno de encargos e mapa de quantidades</dc:subject>
  <dc:creator>archiroof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